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0"/>
        <w:jc w:val="left"/>
      </w:pPr>
      <w:r>
        <w:rPr>
          <w:rFonts w:ascii="Fraunces 72pt Soft" w:cs="Fraunces 72pt Soft" w:eastAsia="Fraunces 72pt Soft" w:hAnsi="Fraunces 72pt Soft"/>
          <w:b w:val="false"/>
          <w:bCs w:val="false"/>
          <w:color w:val="0B2F33"/>
          <w:sz w:val="44"/>
          <w:szCs w:val="44"/>
        </w:rPr>
        <w:t xml:space="preserve">Oferta Vinculante</w:t>
      </w:r>
    </w:p>
    <w:p>
      <w:pPr>
        <w:spacing w:after="240" w:before="0"/>
        <w:jc w:val="left"/>
      </w:pPr>
      <w:r>
        <w:rPr>
          <w:rFonts w:ascii="Plus Jakarta Sans" w:cs="Plus Jakarta Sans" w:eastAsia="Plus Jakarta Sans" w:hAnsi="Plus Jakarta Sans"/>
          <w:b w:val="false"/>
          <w:bCs w:val="false"/>
          <w:i/>
          <w:iCs/>
          <w:color w:val="1B6E6A"/>
          <w:sz w:val="18"/>
          <w:szCs w:val="18"/>
        </w:rPr>
        <w:t xml:space="preserve">Anexo 11 del Acuerdo Marco · Detalle Económico de la Operación · Documento Pre-Contractual</w:t>
      </w:r>
    </w:p>
    <w:p>
      <w:pPr>
        <w:pBdr>
          <w:bottom w:val="single" w:color="C47A4A" w:sz="8" w:space="1"/>
        </w:pBdr>
        <w:spacing w:after="240" w:before="0"/>
      </w:pPr>
      <w:r>
        <w:t xml:space="preserve"/>
      </w:r>
    </w:p>
    <w:p>
      <w:pPr>
        <w:spacing w:after="320" w:line="280"/>
        <w:jc w:val="left"/>
      </w:pPr>
      <w:r>
        <w:rPr>
          <w:rFonts w:ascii="Plus Jakarta Sans" w:cs="Plus Jakarta Sans" w:eastAsia="Plus Jakarta Sans" w:hAnsi="Plus Jakarta Sans"/>
          <w:b w:val="false"/>
          <w:bCs w:val="false"/>
          <w:i w:val="false"/>
          <w:iCs w:val="false"/>
          <w:color w:val="3D595C"/>
          <w:sz w:val="20"/>
          <w:szCs w:val="20"/>
        </w:rPr>
        <w:t xml:space="preserve">Magnus SpA   ·   Santiago de Chile   ·   </w:t>
      </w:r>
      <w:r>
        <w:rPr>
          <w:rFonts w:ascii="Plus Jakarta Sans" w:cs="Plus Jakarta Sans" w:eastAsia="Plus Jakarta Sans" w:hAnsi="Plus Jakarta Sans"/>
          <w:b w:val="false"/>
          <w:bCs w:val="false"/>
          <w:i/>
          <w:iCs/>
          <w:color w:val="1B6E6A"/>
          <w:sz w:val="20"/>
          <w:szCs w:val="20"/>
        </w:rPr>
        <w:t xml:space="preserve">Versión 2.4 · Abril 2026</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7A4A" w:sz="4"/>
              <w:left w:val="single" w:color="C47A4A" w:sz="4"/>
              <w:bottom w:val="single" w:color="C47A4A" w:sz="4"/>
              <w:right w:val="single" w:color="C47A4A" w:sz="4"/>
            </w:tcBorders>
            <w:shd w:fill="F4EFE6" w:val="clear"/>
            <w:tcMar>
              <w:top w:type="dxa" w:w="200"/>
              <w:left w:type="dxa" w:w="200"/>
              <w:bottom w:type="dxa" w:w="200"/>
              <w:right w:type="dxa" w:w="200"/>
            </w:tcMar>
          </w:tcPr>
          <w:p>
            <w:pPr>
              <w:spacing w:after="80" w:line="280"/>
              <w:jc w:val="both"/>
            </w:pPr>
            <w:r>
              <w:rPr>
                <w:rFonts w:ascii="Plus Jakarta Sans" w:cs="Plus Jakarta Sans" w:eastAsia="Plus Jakarta Sans" w:hAnsi="Plus Jakarta Sans"/>
                <w:b/>
                <w:bCs/>
                <w:i w:val="false"/>
                <w:iCs w:val="false"/>
                <w:color w:val="0B2F33"/>
                <w:sz w:val="20"/>
                <w:szCs w:val="20"/>
              </w:rPr>
              <w:t xml:space="preserve">DOCUMENTO PRE-CONTRACTUAL — LEA CON ATENCIÓN.</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La presente Oferta Vinculante contiene los números exactos de la operación que Magnus SpA le propone respecto del Inmueble identificado más abajo. Estos números NO pueden cambiar entre la fecha de esta Oferta y la fecha de firma del Acuerdo Marco. Usted dispone de DIEZ (10) DÍAS HÁBILES desde la recepción de este documento para decidir, sin costo y sin necesidad de expresar causa.</w:t>
            </w:r>
          </w:p>
        </w:tc>
      </w:tr>
    </w:tbl>
    <w:p>
      <w:pPr>
        <w:keepNext/>
        <w:spacing w:after="100" w:before="280"/>
      </w:pPr>
      <w:r>
        <w:rPr>
          <w:rFonts w:ascii="Plus Jakarta Sans" w:cs="Plus Jakarta Sans" w:eastAsia="Plus Jakarta Sans" w:hAnsi="Plus Jakarta Sans"/>
          <w:b/>
          <w:bCs/>
          <w:color w:val="0B2F33"/>
          <w:sz w:val="22"/>
          <w:szCs w:val="22"/>
        </w:rPr>
        <w:t xml:space="preserve">1. IDENTIFICACIÓN DEL VENDEDOR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Nombre completo</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[__________________________]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Cédula de identidad</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Fecha de nacimiento</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Estado civil</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Domicilio actual</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[__________________________]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Correo electrónico</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[__________________________]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Teléfono de contacto</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[__________________]</w:t>
            </w:r>
          </w:p>
        </w:tc>
      </w:tr>
    </w:tbl>
    <w:p>
      <w:pPr>
        <w:keepNext/>
        <w:spacing w:after="100" w:before="280"/>
      </w:pPr>
      <w:r>
        <w:rPr>
          <w:rFonts w:ascii="Plus Jakarta Sans" w:cs="Plus Jakarta Sans" w:eastAsia="Plus Jakarta Sans" w:hAnsi="Plus Jakarta Sans"/>
          <w:b/>
          <w:bCs/>
          <w:color w:val="0B2F33"/>
          <w:sz w:val="22"/>
          <w:szCs w:val="22"/>
        </w:rPr>
        <w:t xml:space="preserve">2. IDENTIFICACIÓN DEL INMUEBLE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Dirección completa</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[__________________________]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Comuna</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[__________________]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Rol de avalúo SII</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[__________________]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Inscripción CBR (fojas / N° / año)</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 / [___] / [____]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Superficie construida</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 m²</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Superficie de terreno</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 m²</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N° de dormitorios / baños / estac.</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 / [___] / [___]</w:t>
            </w:r>
          </w:p>
        </w:tc>
      </w:tr>
    </w:tbl>
    <w:p>
      <w:pPr>
        <w:keepNext/>
        <w:spacing w:after="100" w:before="280"/>
      </w:pPr>
      <w:r>
        <w:rPr>
          <w:rFonts w:ascii="Plus Jakarta Sans" w:cs="Plus Jakarta Sans" w:eastAsia="Plus Jakarta Sans" w:hAnsi="Plus Jakarta Sans"/>
          <w:b/>
          <w:bCs/>
          <w:color w:val="0B2F33"/>
          <w:sz w:val="22"/>
          <w:szCs w:val="22"/>
        </w:rPr>
        <w:t xml:space="preserve">3. TASACIÓN COMERCIAL INDEPENDIENTE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Tasador certificado</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[__________________________]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Fecha de la tasación</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w:t>
            </w:r>
          </w:p>
        </w:tc>
      </w:tr>
      <w:tr>
        <w:tc>
          <w:tcPr>
            <w:tcW w:type="dxa" w:w="6240"/>
            <w:tcBorders>
              <w:top w:val="none" w:color="FFFFFF" w:sz="0"/>
              <w:left w:val="none" w:color="FFFFFF" w:sz="0"/>
              <w:bottom w:val="single" w:color="C7D4D5" w:sz="2"/>
              <w:right w:val="none" w:color="FFFFFF" w:sz="0"/>
            </w:tcBorders>
            <w:shd w:fill="F4EFE6" w:val="clear"/>
            <w:tcMar>
              <w:top w:type="dxa" w:w="100"/>
              <w:left w:type="dxa" w:w="200"/>
              <w:bottom w:type="dxa" w:w="80"/>
              <w:right w:type="dxa" w:w="100"/>
            </w:tcMar>
          </w:tcPr>
          <w:p>
            <w:pPr>
              <w:spacing w:after="0"/>
            </w:pPr>
            <w:r>
              <w:rPr>
                <w:rFonts w:ascii="Plus Jakarta Sans" w:cs="Plus Jakarta Sans" w:eastAsia="Plus Jakarta Sans" w:hAnsi="Plus Jakarta Sans"/>
                <w:b/>
                <w:bCs/>
                <w:color w:val="0B2F33"/>
                <w:sz w:val="20"/>
                <w:szCs w:val="20"/>
              </w:rPr>
              <w:t xml:space="preserve">Valor de Tasación Comercial</w:t>
            </w:r>
          </w:p>
        </w:tc>
        <w:tc>
          <w:tcPr>
            <w:tcW w:type="dxa" w:w="3120"/>
            <w:tcBorders>
              <w:top w:val="none" w:color="FFFFFF" w:sz="0"/>
              <w:left w:val="none" w:color="FFFFFF" w:sz="0"/>
              <w:bottom w:val="single" w:color="C7D4D5" w:sz="2"/>
              <w:right w:val="none" w:color="FFFFFF" w:sz="0"/>
            </w:tcBorders>
            <w:shd w:fill="F4EFE6" w:val="clear"/>
            <w:tcMar>
              <w:top w:type="dxa" w:w="100"/>
              <w:left w:type="dxa" w:w="100"/>
              <w:bottom w:type="dxa" w:w="80"/>
              <w:right w:type="dxa" w:w="200"/>
            </w:tcMar>
          </w:tcPr>
          <w:p>
            <w:pPr>
              <w:spacing w:after="0"/>
              <w:jc w:val="right"/>
            </w:pPr>
            <w:r>
              <w:rPr>
                <w:rFonts w:ascii="Plus Jakarta Sans" w:cs="Plus Jakarta Sans" w:eastAsia="Plus Jakarta Sans" w:hAnsi="Plus Jakarta Sans"/>
                <w:b/>
                <w:bCs/>
                <w:color w:val="0B2F33"/>
                <w:sz w:val="20"/>
                <w:szCs w:val="20"/>
              </w:rPr>
              <w:t xml:space="preserve">UF [__________]</w:t>
            </w:r>
          </w:p>
        </w:tc>
      </w:tr>
    </w:tbl>
    <w:p>
      <w:pPr>
        <w:keepNext/>
        <w:spacing w:after="100" w:before="280"/>
      </w:pPr>
      <w:r>
        <w:rPr>
          <w:rFonts w:ascii="Plus Jakarta Sans" w:cs="Plus Jakarta Sans" w:eastAsia="Plus Jakarta Sans" w:hAnsi="Plus Jakarta Sans"/>
          <w:b/>
          <w:bCs/>
          <w:color w:val="0B2F33"/>
          <w:sz w:val="22"/>
          <w:szCs w:val="22"/>
        </w:rPr>
        <w:t xml:space="preserve">4. ESTRUCTURA ECONÓMICA DE LA OFERTA</w:t>
      </w:r>
    </w:p>
    <w:p>
      <w:pPr>
        <w:spacing w:after="120" w:line="280"/>
        <w:jc w:val="both"/>
      </w:pPr>
      <w:r>
        <w:rPr>
          <w:rFonts w:ascii="Plus Jakarta Sans" w:cs="Plus Jakarta Sans" w:eastAsia="Plus Jakarta Sans" w:hAnsi="Plus Jakarta Sans"/>
          <w:b w:val="false"/>
          <w:bCs w:val="false"/>
          <w:i/>
          <w:iCs/>
          <w:color w:val="3D595C"/>
          <w:sz w:val="20"/>
          <w:szCs w:val="20"/>
        </w:rPr>
        <w:t xml:space="preserve">El Fondo Magnus FIP Inmobiliario adquiere el Inmueble por el cien por ciento (100%) del Valor de Tasación. Los Gastos de Cierre se deducen del precio. El Vendedor recibe el saldo así:</w:t>
      </w:r>
    </w:p>
    <w:p>
      <w:pPr>
        <w:spacing w:after="100" w:line="280"/>
        <w:jc w:val="left"/>
      </w:pPr>
      <w:r>
        <w:rPr>
          <w:rFonts w:ascii="Plus Jakarta Sans" w:cs="Plus Jakarta Sans" w:eastAsia="Plus Jakarta Sans" w:hAnsi="Plus Jakarta Sans"/>
          <w:b/>
          <w:bCs/>
          <w:i w:val="false"/>
          <w:iCs w:val="false"/>
          <w:color w:val="1B6E6A"/>
          <w:sz w:val="20"/>
          <w:szCs w:val="20"/>
        </w:rPr>
        <w:t xml:space="preserve">Precio total de compraventa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none" w:color="FFFFFF" w:sz="0"/>
              <w:left w:val="none" w:color="FFFFFF" w:sz="0"/>
              <w:bottom w:val="single" w:color="C7D4D5" w:sz="2"/>
              <w:right w:val="none" w:color="FFFFFF" w:sz="0"/>
            </w:tcBorders>
            <w:shd w:fill="F4EFE6" w:val="clear"/>
            <w:tcMar>
              <w:top w:type="dxa" w:w="100"/>
              <w:left w:type="dxa" w:w="200"/>
              <w:bottom w:type="dxa" w:w="80"/>
              <w:right w:type="dxa" w:w="100"/>
            </w:tcMar>
          </w:tcPr>
          <w:p>
            <w:pPr>
              <w:spacing w:after="0"/>
            </w:pPr>
            <w:r>
              <w:rPr>
                <w:rFonts w:ascii="Plus Jakarta Sans" w:cs="Plus Jakarta Sans" w:eastAsia="Plus Jakarta Sans" w:hAnsi="Plus Jakarta Sans"/>
                <w:b/>
                <w:bCs/>
                <w:color w:val="0B2F33"/>
                <w:sz w:val="20"/>
                <w:szCs w:val="20"/>
              </w:rPr>
              <w:t xml:space="preserve">Precio (100% del Valor de Tasación)</w:t>
            </w:r>
          </w:p>
        </w:tc>
        <w:tc>
          <w:tcPr>
            <w:tcW w:type="dxa" w:w="3120"/>
            <w:tcBorders>
              <w:top w:val="none" w:color="FFFFFF" w:sz="0"/>
              <w:left w:val="none" w:color="FFFFFF" w:sz="0"/>
              <w:bottom w:val="single" w:color="C7D4D5" w:sz="2"/>
              <w:right w:val="none" w:color="FFFFFF" w:sz="0"/>
            </w:tcBorders>
            <w:shd w:fill="F4EFE6" w:val="clear"/>
            <w:tcMar>
              <w:top w:type="dxa" w:w="100"/>
              <w:left w:type="dxa" w:w="100"/>
              <w:bottom w:type="dxa" w:w="80"/>
              <w:right w:type="dxa" w:w="200"/>
            </w:tcMar>
          </w:tcPr>
          <w:p>
            <w:pPr>
              <w:spacing w:after="0"/>
              <w:jc w:val="right"/>
            </w:pPr>
            <w:r>
              <w:rPr>
                <w:rFonts w:ascii="Plus Jakarta Sans" w:cs="Plus Jakarta Sans" w:eastAsia="Plus Jakarta Sans" w:hAnsi="Plus Jakarta Sans"/>
                <w:b/>
                <w:bCs/>
                <w:color w:val="0B2F33"/>
                <w:sz w:val="20"/>
                <w:szCs w:val="20"/>
              </w:rPr>
              <w:t xml:space="preserve">UF [__________]</w:t>
            </w:r>
          </w:p>
        </w:tc>
      </w:tr>
    </w:tbl>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w:r>
    </w:p>
    <w:p>
      <w:pPr>
        <w:spacing w:after="100" w:line="280"/>
        <w:jc w:val="left"/>
      </w:pPr>
      <w:r>
        <w:rPr>
          <w:rFonts w:ascii="Plus Jakarta Sans" w:cs="Plus Jakarta Sans" w:eastAsia="Plus Jakarta Sans" w:hAnsi="Plus Jakarta Sans"/>
          <w:b/>
          <w:bCs/>
          <w:i w:val="false"/>
          <w:iCs w:val="false"/>
          <w:color w:val="1B6E6A"/>
          <w:sz w:val="20"/>
          <w:szCs w:val="20"/>
        </w:rPr>
        <w:t xml:space="preserve">Gastos de Cierre — de cargo del Vendedor (deducidos del precio)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Tasación independiente</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UF [____]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Comisión de Corretaje a Magnus SpA (2,0% + IVA)</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UF [____]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Honorarios notariales</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UF [____]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Derechos del Conservador de Bienes Raíces</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UF [____]</w:t>
            </w:r>
          </w:p>
        </w:tc>
      </w:tr>
      <w:tr>
        <w:tc>
          <w:tcPr>
            <w:tcW w:type="dxa" w:w="6240"/>
            <w:tcBorders>
              <w:top w:val="none" w:color="FFFFFF" w:sz="0"/>
              <w:left w:val="none" w:color="FFFFFF" w:sz="0"/>
              <w:bottom w:val="single" w:color="C7D4D5" w:sz="2"/>
              <w:right w:val="none" w:color="FFFFFF" w:sz="0"/>
            </w:tcBorders>
            <w:shd w:fill="F4EFE6" w:val="clear"/>
            <w:tcMar>
              <w:top w:type="dxa" w:w="100"/>
              <w:left w:type="dxa" w:w="200"/>
              <w:bottom w:type="dxa" w:w="80"/>
              <w:right w:type="dxa" w:w="100"/>
            </w:tcMar>
          </w:tcPr>
          <w:p>
            <w:pPr>
              <w:spacing w:after="0"/>
            </w:pPr>
            <w:r>
              <w:rPr>
                <w:rFonts w:ascii="Plus Jakarta Sans" w:cs="Plus Jakarta Sans" w:eastAsia="Plus Jakarta Sans" w:hAnsi="Plus Jakarta Sans"/>
                <w:b/>
                <w:bCs/>
                <w:color w:val="0B2F33"/>
                <w:sz w:val="20"/>
                <w:szCs w:val="20"/>
              </w:rPr>
              <w:t xml:space="preserve">TOTAL GASTOS DE CIERRE</w:t>
            </w:r>
          </w:p>
        </w:tc>
        <w:tc>
          <w:tcPr>
            <w:tcW w:type="dxa" w:w="3120"/>
            <w:tcBorders>
              <w:top w:val="none" w:color="FFFFFF" w:sz="0"/>
              <w:left w:val="none" w:color="FFFFFF" w:sz="0"/>
              <w:bottom w:val="single" w:color="C7D4D5" w:sz="2"/>
              <w:right w:val="none" w:color="FFFFFF" w:sz="0"/>
            </w:tcBorders>
            <w:shd w:fill="F4EFE6" w:val="clear"/>
            <w:tcMar>
              <w:top w:type="dxa" w:w="100"/>
              <w:left w:type="dxa" w:w="100"/>
              <w:bottom w:type="dxa" w:w="80"/>
              <w:right w:type="dxa" w:w="200"/>
            </w:tcMar>
          </w:tcPr>
          <w:p>
            <w:pPr>
              <w:spacing w:after="0"/>
              <w:jc w:val="right"/>
            </w:pPr>
            <w:r>
              <w:rPr>
                <w:rFonts w:ascii="Plus Jakarta Sans" w:cs="Plus Jakarta Sans" w:eastAsia="Plus Jakarta Sans" w:hAnsi="Plus Jakarta Sans"/>
                <w:b/>
                <w:bCs/>
                <w:color w:val="0B2F33"/>
                <w:sz w:val="20"/>
                <w:szCs w:val="20"/>
              </w:rPr>
              <w:t xml:space="preserve">UF [____]</w:t>
            </w:r>
          </w:p>
        </w:tc>
      </w:tr>
    </w:tbl>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
      </w:r>
    </w:p>
    <w:p>
      <w:pPr>
        <w:spacing w:after="100" w:line="280"/>
        <w:jc w:val="left"/>
      </w:pPr>
      <w:r>
        <w:rPr>
          <w:rFonts w:ascii="Plus Jakarta Sans" w:cs="Plus Jakarta Sans" w:eastAsia="Plus Jakarta Sans" w:hAnsi="Plus Jakarta Sans"/>
          <w:b/>
          <w:bCs/>
          <w:i w:val="false"/>
          <w:iCs w:val="false"/>
          <w:color w:val="1B6E6A"/>
          <w:sz w:val="20"/>
          <w:szCs w:val="20"/>
        </w:rPr>
        <w:t xml:space="preserve">Pago al Cierre — opcional</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none" w:color="FFFFFF" w:sz="0"/>
              <w:left w:val="none" w:color="FFFFFF" w:sz="0"/>
              <w:bottom w:val="single" w:color="C7D4D5" w:sz="2"/>
              <w:right w:val="none" w:color="FFFFFF" w:sz="0"/>
            </w:tcBorders>
            <w:shd w:fill="F4EFE6" w:val="clear"/>
            <w:tcMar>
              <w:top w:type="dxa" w:w="100"/>
              <w:left w:type="dxa" w:w="200"/>
              <w:bottom w:type="dxa" w:w="80"/>
              <w:right w:type="dxa" w:w="100"/>
            </w:tcMar>
          </w:tcPr>
          <w:p>
            <w:pPr>
              <w:spacing w:after="0"/>
            </w:pPr>
            <w:r>
              <w:rPr>
                <w:rFonts w:ascii="Plus Jakarta Sans" w:cs="Plus Jakarta Sans" w:eastAsia="Plus Jakarta Sans" w:hAnsi="Plus Jakarta Sans"/>
                <w:b/>
                <w:bCs/>
                <w:color w:val="0B2F33"/>
                <w:sz w:val="20"/>
                <w:szCs w:val="20"/>
              </w:rPr>
              <w:t xml:space="preserve">Pago al Cierre solicitado por el Vendedor (0–10% del Valor de Tasación)</w:t>
            </w:r>
          </w:p>
        </w:tc>
        <w:tc>
          <w:tcPr>
            <w:tcW w:type="dxa" w:w="3120"/>
            <w:tcBorders>
              <w:top w:val="none" w:color="FFFFFF" w:sz="0"/>
              <w:left w:val="none" w:color="FFFFFF" w:sz="0"/>
              <w:bottom w:val="single" w:color="C7D4D5" w:sz="2"/>
              <w:right w:val="none" w:color="FFFFFF" w:sz="0"/>
            </w:tcBorders>
            <w:shd w:fill="F4EFE6" w:val="clear"/>
            <w:tcMar>
              <w:top w:type="dxa" w:w="100"/>
              <w:left w:type="dxa" w:w="100"/>
              <w:bottom w:type="dxa" w:w="80"/>
              <w:right w:type="dxa" w:w="200"/>
            </w:tcMar>
          </w:tcPr>
          <w:p>
            <w:pPr>
              <w:spacing w:after="0"/>
              <w:jc w:val="right"/>
            </w:pPr>
            <w:r>
              <w:rPr>
                <w:rFonts w:ascii="Plus Jakarta Sans" w:cs="Plus Jakarta Sans" w:eastAsia="Plus Jakarta Sans" w:hAnsi="Plus Jakarta Sans"/>
                <w:b/>
                <w:bCs/>
                <w:color w:val="0B2F33"/>
                <w:sz w:val="20"/>
                <w:szCs w:val="20"/>
              </w:rPr>
              <w:t xml:space="preserve">UF [____]</w:t>
            </w:r>
          </w:p>
        </w:tc>
      </w:tr>
    </w:tbl>
    <w:p>
      <w:pPr>
        <w:spacing w:after="240" w:line="280"/>
        <w:jc w:val="both"/>
      </w:pPr>
      <w:r>
        <w:rPr>
          <w:rFonts w:ascii="Plus Jakarta Sans" w:cs="Plus Jakarta Sans" w:eastAsia="Plus Jakarta Sans" w:hAnsi="Plus Jakarta Sans"/>
          <w:b w:val="false"/>
          <w:bCs w:val="false"/>
          <w:i/>
          <w:iCs/>
          <w:color w:val="3D595C"/>
          <w:sz w:val="20"/>
          <w:szCs w:val="20"/>
        </w:rPr>
        <w:t xml:space="preserve">Si el Vendedor solicita Pago al Cierre, el monto se entrega el día de la firma y se compensa mensualmente durante 120 meses (Pago al Cierre ÷ 120 = compensación mensual).</w:t>
      </w:r>
    </w:p>
    <w:p>
      <w:pPr>
        <w:spacing w:after="100" w:line="280"/>
        <w:jc w:val="left"/>
      </w:pPr>
      <w:r>
        <w:rPr>
          <w:rFonts w:ascii="Plus Jakarta Sans" w:cs="Plus Jakarta Sans" w:eastAsia="Plus Jakarta Sans" w:hAnsi="Plus Jakarta Sans"/>
          <w:b/>
          <w:bCs/>
          <w:i w:val="false"/>
          <w:iCs w:val="false"/>
          <w:color w:val="1B6E6A"/>
          <w:sz w:val="20"/>
          <w:szCs w:val="20"/>
        </w:rPr>
        <w:t xml:space="preserve">Saldo de Precio Diferido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Saldo de Precio Diferido = Precio − Gastos de Cierre − Pago al Cierre</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UF [____]</w:t>
            </w:r>
          </w:p>
        </w:tc>
      </w:tr>
      <w:tr>
        <w:tc>
          <w:tcPr>
            <w:tcW w:type="dxa" w:w="6240"/>
            <w:tcBorders>
              <w:top w:val="none" w:color="FFFFFF" w:sz="0"/>
              <w:left w:val="none" w:color="FFFFFF" w:sz="0"/>
              <w:bottom w:val="single" w:color="C7D4D5" w:sz="2"/>
              <w:right w:val="none" w:color="FFFFFF" w:sz="0"/>
            </w:tcBorders>
            <w:shd w:fill="F4EFE6" w:val="clear"/>
            <w:tcMar>
              <w:top w:type="dxa" w:w="100"/>
              <w:left w:type="dxa" w:w="200"/>
              <w:bottom w:type="dxa" w:w="80"/>
              <w:right w:type="dxa" w:w="100"/>
            </w:tcMar>
          </w:tcPr>
          <w:p>
            <w:pPr>
              <w:spacing w:after="0"/>
            </w:pPr>
            <w:r>
              <w:rPr>
                <w:rFonts w:ascii="Plus Jakarta Sans" w:cs="Plus Jakarta Sans" w:eastAsia="Plus Jakarta Sans" w:hAnsi="Plus Jakarta Sans"/>
                <w:b/>
                <w:bCs/>
                <w:color w:val="0B2F33"/>
                <w:sz w:val="20"/>
                <w:szCs w:val="20"/>
              </w:rPr>
              <w:t xml:space="preserve">Cuota bruta mensual = Saldo ÷ 120</w:t>
            </w:r>
          </w:p>
        </w:tc>
        <w:tc>
          <w:tcPr>
            <w:tcW w:type="dxa" w:w="3120"/>
            <w:tcBorders>
              <w:top w:val="none" w:color="FFFFFF" w:sz="0"/>
              <w:left w:val="none" w:color="FFFFFF" w:sz="0"/>
              <w:bottom w:val="single" w:color="C7D4D5" w:sz="2"/>
              <w:right w:val="none" w:color="FFFFFF" w:sz="0"/>
            </w:tcBorders>
            <w:shd w:fill="F4EFE6" w:val="clear"/>
            <w:tcMar>
              <w:top w:type="dxa" w:w="100"/>
              <w:left w:type="dxa" w:w="100"/>
              <w:bottom w:type="dxa" w:w="80"/>
              <w:right w:type="dxa" w:w="200"/>
            </w:tcMar>
          </w:tcPr>
          <w:p>
            <w:pPr>
              <w:spacing w:after="0"/>
              <w:jc w:val="right"/>
            </w:pPr>
            <w:r>
              <w:rPr>
                <w:rFonts w:ascii="Plus Jakarta Sans" w:cs="Plus Jakarta Sans" w:eastAsia="Plus Jakarta Sans" w:hAnsi="Plus Jakarta Sans"/>
                <w:b/>
                <w:bCs/>
                <w:color w:val="0B2F33"/>
                <w:sz w:val="20"/>
                <w:szCs w:val="20"/>
              </w:rPr>
              <w:t xml:space="preserve">UF [____]/mes</w:t>
            </w:r>
          </w:p>
        </w:tc>
      </w:tr>
    </w:tbl>
    <w:p>
      <w:pPr>
        <w:keepNext/>
        <w:spacing w:after="100" w:before="280"/>
      </w:pPr>
      <w:r>
        <w:rPr>
          <w:rFonts w:ascii="Plus Jakarta Sans" w:cs="Plus Jakarta Sans" w:eastAsia="Plus Jakarta Sans" w:hAnsi="Plus Jakarta Sans"/>
          <w:b/>
          <w:bCs/>
          <w:color w:val="0B2F33"/>
          <w:sz w:val="22"/>
          <w:szCs w:val="22"/>
        </w:rPr>
        <w:t xml:space="preserve">5. DESCUENTOS MENSUALES VÍA ESCROW</w:t>
      </w:r>
    </w:p>
    <w:p>
      <w:pPr>
        <w:spacing w:after="120" w:line="280"/>
        <w:jc w:val="both"/>
      </w:pPr>
      <w:r>
        <w:rPr>
          <w:rFonts w:ascii="Plus Jakarta Sans" w:cs="Plus Jakarta Sans" w:eastAsia="Plus Jakarta Sans" w:hAnsi="Plus Jakarta Sans"/>
          <w:b w:val="false"/>
          <w:bCs w:val="false"/>
          <w:i/>
          <w:iCs/>
          <w:color w:val="3D595C"/>
          <w:sz w:val="20"/>
          <w:szCs w:val="20"/>
        </w:rPr>
        <w:t xml:space="preserve">De cada cuota bruta mensual, el Banco Agente descuenta automáticamente los siguientes conceptos antes de transferir el monto neto al Vendedor:</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Cuota bruta mensual</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UF [____]/mes</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 Canon mensual de usufructo (4,0% anual ÷ 12)</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UF [____]/mes</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 Fee mensual del servicio de acompañamiento (UF 2,0 + IVA)</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UF 2,38/mes</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 Compensación del Pago al Cierre (Pago al Cierre ÷ 120)</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UF [____]/mes</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 Gastos centralizados del Inmueble (variable según consumo)</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Variable</w:t>
            </w:r>
          </w:p>
        </w:tc>
      </w:tr>
      <w:tr>
        <w:tc>
          <w:tcPr>
            <w:tcW w:type="dxa" w:w="6240"/>
            <w:tcBorders>
              <w:top w:val="none" w:color="FFFFFF" w:sz="0"/>
              <w:left w:val="none" w:color="FFFFFF" w:sz="0"/>
              <w:bottom w:val="single" w:color="C7D4D5" w:sz="2"/>
              <w:right w:val="none" w:color="FFFFFF" w:sz="0"/>
            </w:tcBorders>
            <w:shd w:fill="F4EFE6" w:val="clear"/>
            <w:tcMar>
              <w:top w:type="dxa" w:w="100"/>
              <w:left w:type="dxa" w:w="200"/>
              <w:bottom w:type="dxa" w:w="80"/>
              <w:right w:type="dxa" w:w="100"/>
            </w:tcMar>
          </w:tcPr>
          <w:p>
            <w:pPr>
              <w:spacing w:after="0"/>
            </w:pPr>
            <w:r>
              <w:rPr>
                <w:rFonts w:ascii="Plus Jakarta Sans" w:cs="Plus Jakarta Sans" w:eastAsia="Plus Jakarta Sans" w:hAnsi="Plus Jakarta Sans"/>
                <w:b/>
                <w:bCs/>
                <w:color w:val="0B2F33"/>
                <w:sz w:val="20"/>
                <w:szCs w:val="20"/>
              </w:rPr>
              <w:t xml:space="preserve">PAGO NETO MENSUAL al Vendedor (antes de gastos centralizados)</w:t>
            </w:r>
          </w:p>
        </w:tc>
        <w:tc>
          <w:tcPr>
            <w:tcW w:type="dxa" w:w="3120"/>
            <w:tcBorders>
              <w:top w:val="none" w:color="FFFFFF" w:sz="0"/>
              <w:left w:val="none" w:color="FFFFFF" w:sz="0"/>
              <w:bottom w:val="single" w:color="C7D4D5" w:sz="2"/>
              <w:right w:val="none" w:color="FFFFFF" w:sz="0"/>
            </w:tcBorders>
            <w:shd w:fill="F4EFE6" w:val="clear"/>
            <w:tcMar>
              <w:top w:type="dxa" w:w="100"/>
              <w:left w:type="dxa" w:w="100"/>
              <w:bottom w:type="dxa" w:w="80"/>
              <w:right w:type="dxa" w:w="200"/>
            </w:tcMar>
          </w:tcPr>
          <w:p>
            <w:pPr>
              <w:spacing w:after="0"/>
              <w:jc w:val="right"/>
            </w:pPr>
            <w:r>
              <w:rPr>
                <w:rFonts w:ascii="Plus Jakarta Sans" w:cs="Plus Jakarta Sans" w:eastAsia="Plus Jakarta Sans" w:hAnsi="Plus Jakarta Sans"/>
                <w:b/>
                <w:bCs/>
                <w:color w:val="0B2F33"/>
                <w:sz w:val="20"/>
                <w:szCs w:val="20"/>
              </w:rPr>
              <w:t xml:space="preserve">UF [____]/mes</w:t>
            </w:r>
          </w:p>
        </w:tc>
      </w:tr>
    </w:tbl>
    <w:p>
      <w:pPr>
        <w:keepNext/>
        <w:spacing w:after="100" w:before="280"/>
      </w:pPr>
      <w:r>
        <w:rPr>
          <w:rFonts w:ascii="Plus Jakarta Sans" w:cs="Plus Jakarta Sans" w:eastAsia="Plus Jakarta Sans" w:hAnsi="Plus Jakarta Sans"/>
          <w:b/>
          <w:bCs/>
          <w:color w:val="0B2F33"/>
          <w:sz w:val="22"/>
          <w:szCs w:val="22"/>
        </w:rPr>
        <w:t xml:space="preserve">6. RESUMEN ECONÓMICO TOTAL DEL PERÍODO (10 AÑOS)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Pago al firmar (Pago al Cierre)</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UF [____]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Pagos mensuales acumulados (pago neto × 120)</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UF [____]</w:t>
            </w:r>
          </w:p>
        </w:tc>
      </w:tr>
      <w:tr>
        <w:tc>
          <w:tcPr>
            <w:tcW w:type="dxa" w:w="6240"/>
            <w:tcBorders>
              <w:top w:val="none" w:color="FFFFFF" w:sz="0"/>
              <w:left w:val="none" w:color="FFFFFF" w:sz="0"/>
              <w:bottom w:val="single" w:color="C7D4D5" w:sz="2"/>
              <w:right w:val="none" w:color="FFFFFF" w:sz="0"/>
            </w:tcBorders>
            <w:shd w:fill="F4EFE6" w:val="clear"/>
            <w:tcMar>
              <w:top w:type="dxa" w:w="100"/>
              <w:left w:type="dxa" w:w="200"/>
              <w:bottom w:type="dxa" w:w="80"/>
              <w:right w:type="dxa" w:w="100"/>
            </w:tcMar>
          </w:tcPr>
          <w:p>
            <w:pPr>
              <w:spacing w:after="0"/>
            </w:pPr>
            <w:r>
              <w:rPr>
                <w:rFonts w:ascii="Plus Jakarta Sans" w:cs="Plus Jakarta Sans" w:eastAsia="Plus Jakarta Sans" w:hAnsi="Plus Jakarta Sans"/>
                <w:b/>
                <w:bCs/>
                <w:color w:val="0B2F33"/>
                <w:sz w:val="20"/>
                <w:szCs w:val="20"/>
              </w:rPr>
              <w:t xml:space="preserve">TOTAL RECIBIDO POR EL VENDEDOR EN 10 AÑOS</w:t>
            </w:r>
          </w:p>
        </w:tc>
        <w:tc>
          <w:tcPr>
            <w:tcW w:type="dxa" w:w="3120"/>
            <w:tcBorders>
              <w:top w:val="none" w:color="FFFFFF" w:sz="0"/>
              <w:left w:val="none" w:color="FFFFFF" w:sz="0"/>
              <w:bottom w:val="single" w:color="C7D4D5" w:sz="2"/>
              <w:right w:val="none" w:color="FFFFFF" w:sz="0"/>
            </w:tcBorders>
            <w:shd w:fill="F4EFE6" w:val="clear"/>
            <w:tcMar>
              <w:top w:type="dxa" w:w="100"/>
              <w:left w:type="dxa" w:w="100"/>
              <w:bottom w:type="dxa" w:w="80"/>
              <w:right w:type="dxa" w:w="200"/>
            </w:tcMar>
          </w:tcPr>
          <w:p>
            <w:pPr>
              <w:spacing w:after="0"/>
              <w:jc w:val="right"/>
            </w:pPr>
            <w:r>
              <w:rPr>
                <w:rFonts w:ascii="Plus Jakarta Sans" w:cs="Plus Jakarta Sans" w:eastAsia="Plus Jakarta Sans" w:hAnsi="Plus Jakarta Sans"/>
                <w:b/>
                <w:bCs/>
                <w:color w:val="0B2F33"/>
                <w:sz w:val="20"/>
                <w:szCs w:val="20"/>
              </w:rPr>
              <w:t xml:space="preserve">UF [____]</w:t>
            </w:r>
          </w:p>
        </w:tc>
      </w:tr>
      <w:tr>
        <w:tc>
          <w:tcPr>
            <w:tcW w:type="dxa" w:w="6240"/>
            <w:tcBorders>
              <w:top w:val="none" w:color="FFFFFF" w:sz="0"/>
              <w:left w:val="none" w:color="FFFFFF" w:sz="0"/>
              <w:bottom w:val="single" w:color="C7D4D5" w:sz="2"/>
              <w:right w:val="none" w:color="FFFFFF" w:sz="0"/>
            </w:tcBorders>
            <w:shd w:fill="F4EFE6" w:val="clear"/>
            <w:tcMar>
              <w:top w:type="dxa" w:w="100"/>
              <w:left w:type="dxa" w:w="200"/>
              <w:bottom w:type="dxa" w:w="80"/>
              <w:right w:type="dxa" w:w="100"/>
            </w:tcMar>
          </w:tcPr>
          <w:p>
            <w:pPr>
              <w:spacing w:after="0"/>
            </w:pPr>
            <w:r>
              <w:rPr>
                <w:rFonts w:ascii="Plus Jakarta Sans" w:cs="Plus Jakarta Sans" w:eastAsia="Plus Jakarta Sans" w:hAnsi="Plus Jakarta Sans"/>
                <w:b/>
                <w:bCs/>
                <w:color w:val="0B2F33"/>
                <w:sz w:val="20"/>
                <w:szCs w:val="20"/>
              </w:rPr>
              <w:t xml:space="preserve">Equivalente al % del Valor de Tasación</w:t>
            </w:r>
          </w:p>
        </w:tc>
        <w:tc>
          <w:tcPr>
            <w:tcW w:type="dxa" w:w="3120"/>
            <w:tcBorders>
              <w:top w:val="none" w:color="FFFFFF" w:sz="0"/>
              <w:left w:val="none" w:color="FFFFFF" w:sz="0"/>
              <w:bottom w:val="single" w:color="C7D4D5" w:sz="2"/>
              <w:right w:val="none" w:color="FFFFFF" w:sz="0"/>
            </w:tcBorders>
            <w:shd w:fill="F4EFE6" w:val="clear"/>
            <w:tcMar>
              <w:top w:type="dxa" w:w="100"/>
              <w:left w:type="dxa" w:w="100"/>
              <w:bottom w:type="dxa" w:w="80"/>
              <w:right w:type="dxa" w:w="200"/>
            </w:tcMar>
          </w:tcPr>
          <w:p>
            <w:pPr>
              <w:spacing w:after="0"/>
              <w:jc w:val="right"/>
            </w:pPr>
            <w:r>
              <w:rPr>
                <w:rFonts w:ascii="Plus Jakarta Sans" w:cs="Plus Jakarta Sans" w:eastAsia="Plus Jakarta Sans" w:hAnsi="Plus Jakarta Sans"/>
                <w:b/>
                <w:bCs/>
                <w:color w:val="0B2F33"/>
                <w:sz w:val="20"/>
                <w:szCs w:val="20"/>
              </w:rPr>
              <w:t xml:space="preserve">[____]%</w:t>
            </w:r>
          </w:p>
        </w:tc>
      </w:tr>
    </w:tbl>
    <w:p>
      <w:pPr>
        <w:spacing w:after="120" w:line="280"/>
        <w:jc w:val="both"/>
      </w:pPr>
      <w:r>
        <w:rPr>
          <w:rFonts w:ascii="Plus Jakarta Sans" w:cs="Plus Jakarta Sans" w:eastAsia="Plus Jakarta Sans" w:hAnsi="Plus Jakarta Sans"/>
          <w:b/>
          <w:bCs/>
          <w:i/>
          <w:iCs/>
          <w:color w:val="0B2F33"/>
          <w:sz w:val="20"/>
          <w:szCs w:val="20"/>
        </w:rPr>
        <w:t xml:space="preserve">Importante: </w:t>
      </w:r>
      <w:r>
        <w:rPr>
          <w:rFonts w:ascii="Plus Jakarta Sans" w:cs="Plus Jakarta Sans" w:eastAsia="Plus Jakarta Sans" w:hAnsi="Plus Jakarta Sans"/>
          <w:b w:val="false"/>
          <w:bCs w:val="false"/>
          <w:i/>
          <w:iCs/>
          <w:color w:val="3D595C"/>
          <w:sz w:val="20"/>
          <w:szCs w:val="20"/>
        </w:rPr>
        <w:t xml:space="preserve">el porcentaje del Valor de Tasación que el Vendedor recibe NO es el 100% del precio de compraventa, porque el Vendedor (i) continúa habitando el Inmueble durante 10 años bajo el Usufructo Temporal, lo cual se compensa con el canon mensual de usufructo, y (ii) conserva la opción de recompra del Inmueble al término del usufructo. La diferencia entre el precio nominal (100%) y el flujo neto que efectivamente percibe el Vendedor (típicamente 50–55%) corresponde al valor económico del usufructo y de la opción de recompra retenidas por el Vendedor.</w:t>
      </w:r>
    </w:p>
    <w:p>
      <w:pPr>
        <w:keepNext/>
        <w:spacing w:after="100" w:before="280"/>
      </w:pPr>
      <w:r>
        <w:rPr>
          <w:rFonts w:ascii="Plus Jakarta Sans" w:cs="Plus Jakarta Sans" w:eastAsia="Plus Jakarta Sans" w:hAnsi="Plus Jakarta Sans"/>
          <w:b/>
          <w:bCs/>
          <w:color w:val="0B2F33"/>
          <w:sz w:val="22"/>
          <w:szCs w:val="22"/>
        </w:rPr>
        <w:t xml:space="preserve">7. OPCIÓN DE RECOMPRA — EJERCITABLE EN CUALQUIER MOMENTO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none" w:color="FFFFFF" w:sz="0"/>
              <w:left w:val="none" w:color="FFFFFF" w:sz="0"/>
              <w:bottom w:val="single" w:color="C7D4D5" w:sz="2"/>
              <w:right w:val="none" w:color="FFFFFF" w:sz="0"/>
            </w:tcBorders>
            <w:shd w:fill="F4EFE6" w:val="clear"/>
            <w:tcMar>
              <w:top w:type="dxa" w:w="100"/>
              <w:left w:type="dxa" w:w="200"/>
              <w:bottom w:type="dxa" w:w="80"/>
              <w:right w:type="dxa" w:w="100"/>
            </w:tcMar>
          </w:tcPr>
          <w:p>
            <w:pPr>
              <w:spacing w:after="0"/>
            </w:pPr>
            <w:r>
              <w:rPr>
                <w:rFonts w:ascii="Plus Jakarta Sans" w:cs="Plus Jakarta Sans" w:eastAsia="Plus Jakarta Sans" w:hAnsi="Plus Jakarta Sans"/>
                <w:b/>
                <w:bCs/>
                <w:color w:val="0B2F33"/>
                <w:sz w:val="20"/>
                <w:szCs w:val="20"/>
              </w:rPr>
              <w:t xml:space="preserve">Precio de Recompra (fijo) = Precio compraventa × 1,025^10</w:t>
            </w:r>
          </w:p>
        </w:tc>
        <w:tc>
          <w:tcPr>
            <w:tcW w:type="dxa" w:w="3120"/>
            <w:tcBorders>
              <w:top w:val="none" w:color="FFFFFF" w:sz="0"/>
              <w:left w:val="none" w:color="FFFFFF" w:sz="0"/>
              <w:bottom w:val="single" w:color="C7D4D5" w:sz="2"/>
              <w:right w:val="none" w:color="FFFFFF" w:sz="0"/>
            </w:tcBorders>
            <w:shd w:fill="F4EFE6" w:val="clear"/>
            <w:tcMar>
              <w:top w:type="dxa" w:w="100"/>
              <w:left w:type="dxa" w:w="100"/>
              <w:bottom w:type="dxa" w:w="80"/>
              <w:right w:type="dxa" w:w="200"/>
            </w:tcMar>
          </w:tcPr>
          <w:p>
            <w:pPr>
              <w:spacing w:after="0"/>
              <w:jc w:val="right"/>
            </w:pPr>
            <w:r>
              <w:rPr>
                <w:rFonts w:ascii="Plus Jakarta Sans" w:cs="Plus Jakarta Sans" w:eastAsia="Plus Jakarta Sans" w:hAnsi="Plus Jakarta Sans"/>
                <w:b/>
                <w:bCs/>
                <w:color w:val="0B2F33"/>
                <w:sz w:val="20"/>
                <w:szCs w:val="20"/>
              </w:rPr>
              <w:t xml:space="preserve">UF [____]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Compensación con cuotas pendientes al momento del ejercicio</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Sí, automática</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Plazo de notificación previa al perfeccionamiento</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90 días corridos</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Período de ejercicio</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Cualquier momento del usufructo</w:t>
            </w:r>
          </w:p>
        </w:tc>
      </w:tr>
    </w:tbl>
    <w:p>
      <w:pPr>
        <w:spacing w:after="120" w:line="280"/>
        <w:jc w:val="both"/>
      </w:pPr>
      <w:r>
        <w:rPr>
          <w:rFonts w:ascii="Plus Jakarta Sans" w:cs="Plus Jakarta Sans" w:eastAsia="Plus Jakarta Sans" w:hAnsi="Plus Jakarta Sans"/>
          <w:b w:val="false"/>
          <w:bCs w:val="false"/>
          <w:i/>
          <w:iCs/>
          <w:color w:val="3D595C"/>
          <w:sz w:val="20"/>
          <w:szCs w:val="20"/>
        </w:rPr>
        <w:t xml:space="preserve">Para una compraventa de UF 10.000, el precio de recompra fijo es de UF 12.800,85. Este precio es invariable y aplica con independencia del momento en que se ejerza la opción dentro de los 10 años del usufructo. Si el ejercicio es anterior al vencimiento, las cuotas pendientes del Saldo de Precio Diferido se compensan automáticamente con el precio de recompra. Por ejemplo, si se ejerce en el año 5, restan UF 2.703 en cuotas, y el monto neto a pagar al Fondo es UF 10.098 (UF 12.801 − UF 2.703). El Vendedor (o sus Co-Usufructuarios o herederos) podrá ejercer la opción notificando al Fondo con al menos 90 días de anticipación a la fecha propuesta para el perfeccionamiento.</w:t>
      </w:r>
    </w:p>
    <w:p>
      <w:pPr>
        <w:keepNext/>
        <w:spacing w:after="100" w:before="280"/>
      </w:pPr>
      <w:r>
        <w:rPr>
          <w:rFonts w:ascii="Plus Jakarta Sans" w:cs="Plus Jakarta Sans" w:eastAsia="Plus Jakarta Sans" w:hAnsi="Plus Jakarta Sans"/>
          <w:b/>
          <w:bCs/>
          <w:color w:val="0B2F33"/>
          <w:sz w:val="22"/>
          <w:szCs w:val="22"/>
        </w:rPr>
        <w:t xml:space="preserve">8. ARRENDAMIENTO POST-USUFRUCTO (SI NO SE EJERCE LA RECOMPRA)</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Canon mensual = 0,4166% del valor comercial vigente al año 10 (5,0% anual)</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Estimado UF [____]/mes</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Plazo mínimo inicial</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12 meses</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Renovación</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Anual automática</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Garantía</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2 meses de canon</w:t>
            </w:r>
          </w:p>
        </w:tc>
      </w:tr>
    </w:tbl>
    <w:p>
      <w:pPr>
        <w:keepNext/>
        <w:spacing w:after="100" w:before="280"/>
      </w:pPr>
      <w:r>
        <w:rPr>
          <w:rFonts w:ascii="Plus Jakarta Sans" w:cs="Plus Jakarta Sans" w:eastAsia="Plus Jakarta Sans" w:hAnsi="Plus Jakarta Sans"/>
          <w:b/>
          <w:bCs/>
          <w:color w:val="0B2F33"/>
          <w:sz w:val="22"/>
          <w:szCs w:val="22"/>
        </w:rPr>
        <w:t xml:space="preserve">9. CO-USUFRUCTUARIOS DESIGNADOS</w:t>
      </w:r>
    </w:p>
    <w:p>
      <w:pPr>
        <w:spacing w:after="120" w:line="280"/>
        <w:jc w:val="both"/>
      </w:pPr>
      <w:r>
        <w:rPr>
          <w:rFonts w:ascii="Plus Jakarta Sans" w:cs="Plus Jakarta Sans" w:eastAsia="Plus Jakarta Sans" w:hAnsi="Plus Jakarta Sans"/>
          <w:b w:val="false"/>
          <w:bCs w:val="false"/>
          <w:i/>
          <w:iCs/>
          <w:color w:val="3D595C"/>
          <w:sz w:val="20"/>
          <w:szCs w:val="20"/>
        </w:rPr>
        <w:t xml:space="preserve">El Vendedor designa como Co-Usufructuarios a las siguientes personas, quienes podrán continuar habitando el Inmueble en caso de fallecimiento del Vendedor durante el plazo del usufructo: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Co-Usufructuario 1: Nombre, RUT, parentesco</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[__________________________]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Co-Usufructuario 2: Nombre, RUT, parentesco</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[__________________________]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Co-Usufructuario 3: Nombre, RUT, parentesco</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[__________________________]</w:t>
            </w:r>
          </w:p>
        </w:tc>
      </w:tr>
    </w:tbl>
    <w:p>
      <w:pPr>
        <w:keepNext/>
        <w:spacing w:after="100" w:before="280"/>
      </w:pPr>
      <w:r>
        <w:rPr>
          <w:rFonts w:ascii="Plus Jakarta Sans" w:cs="Plus Jakarta Sans" w:eastAsia="Plus Jakarta Sans" w:hAnsi="Plus Jakarta Sans"/>
          <w:b/>
          <w:bCs/>
          <w:color w:val="0B2F33"/>
          <w:sz w:val="22"/>
          <w:szCs w:val="22"/>
        </w:rPr>
        <w:t xml:space="preserve">10. AVAL Y CODEUDOR SOLIDARIO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6240"/>
        <w:gridCol w:w="3120"/>
      </w:tblGrid>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Nombre completo del Aval</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[__________________________]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Cédula de identidad del Aval</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Domicilio del Aval</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[__________________________]</w:t>
            </w:r>
          </w:p>
        </w:tc>
      </w:tr>
      <w:tr>
        <w:tc>
          <w:tcPr>
            <w:tcW w:type="dxa" w:w="6240"/>
            <w:tcBorders>
              <w:top w:val="none" w:color="FFFFFF" w:sz="0"/>
              <w:left w:val="none" w:color="FFFFFF" w:sz="0"/>
              <w:bottom w:val="single" w:color="C7D4D5" w:sz="2"/>
              <w:right w:val="none" w:color="FFFFFF" w:sz="0"/>
            </w:tcBorders>
            <w:shd w:fill="FFFFFF" w:val="clear"/>
            <w:tcMar>
              <w:top w:type="dxa" w:w="100"/>
              <w:left w:type="dxa" w:w="200"/>
              <w:bottom w:type="dxa" w:w="80"/>
              <w:right w:type="dxa" w:w="100"/>
            </w:tcMar>
          </w:tcPr>
          <w:p>
            <w:pPr>
              <w:spacing w:after="0"/>
            </w:pPr>
            <w:r>
              <w:rPr>
                <w:rFonts w:ascii="Plus Jakarta Sans" w:cs="Plus Jakarta Sans" w:eastAsia="Plus Jakarta Sans" w:hAnsi="Plus Jakarta Sans"/>
                <w:b w:val="false"/>
                <w:bCs w:val="false"/>
                <w:color w:val="0B2F33"/>
                <w:sz w:val="20"/>
                <w:szCs w:val="20"/>
              </w:rPr>
              <w:t xml:space="preserve">Correo electrónico del Aval</w:t>
            </w:r>
          </w:p>
        </w:tc>
        <w:tc>
          <w:tcPr>
            <w:tcW w:type="dxa" w:w="3120"/>
            <w:tcBorders>
              <w:top w:val="none" w:color="FFFFFF" w:sz="0"/>
              <w:left w:val="none" w:color="FFFFFF" w:sz="0"/>
              <w:bottom w:val="single" w:color="C7D4D5" w:sz="2"/>
              <w:right w:val="none" w:color="FFFFFF" w:sz="0"/>
            </w:tcBorders>
            <w:shd w:fill="FFFFFF" w:val="clear"/>
            <w:tcMar>
              <w:top w:type="dxa" w:w="100"/>
              <w:left w:type="dxa" w:w="100"/>
              <w:bottom w:type="dxa" w:w="80"/>
              <w:right w:type="dxa" w:w="200"/>
            </w:tcMar>
          </w:tcPr>
          <w:p>
            <w:pPr>
              <w:spacing w:after="0"/>
              <w:jc w:val="right"/>
            </w:pPr>
            <w:r>
              <w:rPr>
                <w:rFonts w:ascii="Plus Jakarta Sans" w:cs="Plus Jakarta Sans" w:eastAsia="Plus Jakarta Sans" w:hAnsi="Plus Jakarta Sans"/>
                <w:b w:val="false"/>
                <w:bCs w:val="false"/>
                <w:color w:val="0B2F33"/>
                <w:sz w:val="20"/>
                <w:szCs w:val="20"/>
              </w:rPr>
              <w:t xml:space="preserve">[__________________________]</w:t>
            </w:r>
          </w:p>
        </w:tc>
      </w:tr>
    </w:tbl>
    <w:p>
      <w:pPr>
        <w:spacing w:after="120" w:line="280"/>
        <w:jc w:val="both"/>
      </w:pPr>
      <w:r>
        <w:rPr>
          <w:rFonts w:ascii="Plus Jakarta Sans" w:cs="Plus Jakarta Sans" w:eastAsia="Plus Jakarta Sans" w:hAnsi="Plus Jakarta Sans"/>
          <w:b w:val="false"/>
          <w:bCs w:val="false"/>
          <w:i/>
          <w:iCs/>
          <w:color w:val="3D595C"/>
          <w:sz w:val="20"/>
          <w:szCs w:val="20"/>
        </w:rPr>
        <w:t xml:space="preserve">El Aval garantiza exclusivamente las obligaciones del Vendedor bajo la Constitución de Usufructo Temporal y el Contrato de Arrendamiento Post-Usufructo (canon, contribuciones, conservación, restitución), y NO garantiza el Contrato de Compraventa ni el ejercicio o pago de la opción de recompra.</w:t>
      </w:r>
    </w:p>
    <w:p>
      <w:pPr>
        <w:keepNext/>
        <w:spacing w:after="100" w:before="280"/>
      </w:pPr>
      <w:r>
        <w:rPr>
          <w:rFonts w:ascii="Plus Jakarta Sans" w:cs="Plus Jakarta Sans" w:eastAsia="Plus Jakarta Sans" w:hAnsi="Plus Jakarta Sans"/>
          <w:b/>
          <w:bCs/>
          <w:color w:val="0B2F33"/>
          <w:sz w:val="22"/>
          <w:szCs w:val="22"/>
        </w:rPr>
        <w:t xml:space="preserve">11. PLAZO DE REFLEXIÓN Y DERECHO DE RETRACTO</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47A4A" w:sz="4"/>
              <w:left w:val="single" w:color="C47A4A" w:sz="4"/>
              <w:bottom w:val="single" w:color="C47A4A" w:sz="4"/>
              <w:right w:val="single" w:color="C47A4A" w:sz="4"/>
            </w:tcBorders>
            <w:shd w:fill="F4EFE6" w:val="clear"/>
            <w:tcMar>
              <w:top w:type="dxa" w:w="200"/>
              <w:left w:type="dxa" w:w="200"/>
              <w:bottom w:type="dxa" w:w="200"/>
              <w:right w:type="dxa" w:w="200"/>
            </w:tcMar>
          </w:tcPr>
          <w:p>
            <w:pPr>
              <w:spacing w:after="80" w:line="280"/>
              <w:jc w:val="both"/>
            </w:pPr>
            <w:r>
              <w:rPr>
                <w:rFonts w:ascii="Plus Jakarta Sans" w:cs="Plus Jakarta Sans" w:eastAsia="Plus Jakarta Sans" w:hAnsi="Plus Jakarta Sans"/>
                <w:b/>
                <w:bCs/>
                <w:i w:val="false"/>
                <w:iCs w:val="false"/>
                <w:color w:val="0B2F33"/>
                <w:sz w:val="20"/>
                <w:szCs w:val="20"/>
              </w:rPr>
              <w:t xml:space="preserve">USTED TIENE 10 DÍAS HÁBILES PARA DECIDIR.</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Esta Oferta Vinculante tiene una validez de DIEZ (10) DÍAS HÁBILES desde la fecha de su recepción. Durante este plazo, los números aquí establecidos no pueden ser modificados por Magnus SpA. Usted puede desistirse de la operación en cualquier momento dentro de este plazo, sin costo alguno y sin necesidad de expresar causa, mediante simple notificación a hola@soymagnus.com.</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Magnus SpA recomienda enfáticamente que durante este plazo:</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(i) consulte con un abogado independiente de su confianza;</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(ii) consulte con un asesor tributario independiente;</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(iii) converse esta operación con su familia, especialmente con quienes haya designado como Co-Usufructuarios o herederos;</w:t>
            </w:r>
          </w:p>
          <w:p>
            <w:pPr>
              <w:spacing w:after="80" w:line="280"/>
              <w:jc w:val="both"/>
            </w:pPr>
            <w:r>
              <w:rPr>
                <w:rFonts w:ascii="Plus Jakarta Sans" w:cs="Plus Jakarta Sans" w:eastAsia="Plus Jakarta Sans" w:hAnsi="Plus Jakarta Sans"/>
                <w:b w:val="false"/>
                <w:bCs w:val="false"/>
                <w:i w:val="false"/>
                <w:iCs w:val="false"/>
                <w:color w:val="0B2F33"/>
                <w:sz w:val="20"/>
                <w:szCs w:val="20"/>
              </w:rPr>
              <w:t xml:space="preserve">(iv) verifique los números aquí presentados, idealmente con apoyo de un contador o asesor financiero.</w:t>
            </w:r>
          </w:p>
        </w:tc>
      </w:tr>
    </w:tbl>
    <w:p>
      <w:pPr>
        <w:keepNext/>
        <w:spacing w:after="100" w:before="280"/>
      </w:pPr>
      <w:r>
        <w:rPr>
          <w:rFonts w:ascii="Plus Jakarta Sans" w:cs="Plus Jakarta Sans" w:eastAsia="Plus Jakarta Sans" w:hAnsi="Plus Jakarta Sans"/>
          <w:b/>
          <w:bCs/>
          <w:color w:val="0B2F33"/>
          <w:sz w:val="22"/>
          <w:szCs w:val="22"/>
        </w:rPr>
        <w:t xml:space="preserve">12. RECEPCIÓN Y ACEPTACIÓN DE LA OFERTA</w:t>
      </w:r>
    </w:p>
    <w:p>
      <w:pPr>
        <w:spacing w:after="100" w:line="280"/>
        <w:jc w:val="both"/>
      </w:pPr>
      <w:r>
        <w:rPr>
          <w:rFonts w:ascii="Plus Jakarta Sans" w:cs="Plus Jakarta Sans" w:eastAsia="Plus Jakarta Sans" w:hAnsi="Plus Jakarta Sans"/>
          <w:b/>
          <w:bCs/>
          <w:i w:val="false"/>
          <w:iCs w:val="false"/>
          <w:color w:val="0B2F33"/>
          <w:sz w:val="20"/>
          <w:szCs w:val="20"/>
        </w:rPr>
        <w:t xml:space="preserve">I. RECEPCIÓN.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Declaro recibir esta Oferta Vinculante con todos sus números completos. Tomo conocimiento de que dispongo de 10 días hábiles para decidir, durante los cuales los números no pueden ser modificados, y de que puedo desistirme sin costo en cualquier momento dentro de dicho plazo.</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FIRMA DEL VENDEDOR — RECEPCIÓN</w:t>
      </w:r>
    </w:p>
    <w:p>
      <w:pPr>
        <w:spacing w:after="0"/>
      </w:pPr>
      <w:r>
        <w:rPr>
          <w:rFonts w:ascii="Plus Jakarta Sans" w:cs="Plus Jakarta Sans" w:eastAsia="Plus Jakarta Sans" w:hAnsi="Plus Jakarta Sans"/>
          <w:i/>
          <w:iCs/>
          <w:color w:val="3D595C"/>
          <w:sz w:val="18"/>
          <w:szCs w:val="18"/>
        </w:rPr>
        <w:t xml:space="preserve">[Nombre completo]</w:t>
      </w:r>
    </w:p>
    <w:p>
      <w:pPr>
        <w:spacing w:after="360"/>
      </w:pPr>
      <w:r>
        <w:rPr>
          <w:rFonts w:ascii="Plus Jakarta Sans" w:cs="Plus Jakarta Sans" w:eastAsia="Plus Jakarta Sans" w:hAnsi="Plus Jakarta Sans"/>
          <w:color w:val="3D595C"/>
          <w:sz w:val="18"/>
          <w:szCs w:val="18"/>
        </w:rPr>
        <w:t xml:space="preserve">[RUT: _______________]</w:t>
      </w:r>
    </w:p>
    <w:p>
      <w:pPr>
        <w:spacing w:after="360" w:line="280"/>
        <w:jc w:val="both"/>
      </w:pPr>
      <w:r>
        <w:rPr>
          <w:rFonts w:ascii="Plus Jakarta Sans" w:cs="Plus Jakarta Sans" w:eastAsia="Plus Jakarta Sans" w:hAnsi="Plus Jakarta Sans"/>
          <w:b w:val="false"/>
          <w:bCs w:val="false"/>
          <w:i/>
          <w:iCs/>
          <w:color w:val="3D595C"/>
          <w:sz w:val="20"/>
          <w:szCs w:val="20"/>
        </w:rPr>
        <w:t xml:space="preserve">Fecha de recepción: ____ / ____ / ________</w:t>
      </w:r>
    </w:p>
    <w:p>
      <w:pPr>
        <w:spacing w:after="100" w:line="280"/>
        <w:jc w:val="both"/>
      </w:pPr>
      <w:r>
        <w:rPr>
          <w:rFonts w:ascii="Plus Jakarta Sans" w:cs="Plus Jakarta Sans" w:eastAsia="Plus Jakarta Sans" w:hAnsi="Plus Jakarta Sans"/>
          <w:b/>
          <w:bCs/>
          <w:i w:val="false"/>
          <w:iCs w:val="false"/>
          <w:color w:val="0B2F33"/>
          <w:sz w:val="20"/>
          <w:szCs w:val="20"/>
        </w:rPr>
        <w:t xml:space="preserve">II. ACEPTACIÓN (a firmar al menos 10 días hábiles después de la recepción).</w:t>
      </w:r>
    </w:p>
    <w:p>
      <w:pPr>
        <w:spacing w:after="120" w:line="280"/>
        <w:jc w:val="both"/>
      </w:pPr>
      <w:r>
        <w:rPr>
          <w:rFonts w:ascii="Plus Jakarta Sans" w:cs="Plus Jakarta Sans" w:eastAsia="Plus Jakarta Sans" w:hAnsi="Plus Jakarta Sans"/>
          <w:b w:val="false"/>
          <w:bCs w:val="false"/>
          <w:i w:val="false"/>
          <w:iCs w:val="false"/>
          <w:color w:val="0B2F33"/>
          <w:sz w:val="20"/>
          <w:szCs w:val="20"/>
        </w:rPr>
        <w:t xml:space="preserve">Declaro que han transcurrido al menos 10 días hábiles desde la recepción de esta Oferta Vinculante; que he tenido la oportunidad de consultar con asesores independientes; que he comprendido todos los números y condiciones aquí establecidos; y que acepto la operación descrita, autorizando a Magnus SpA a proceder a la firma simultánea del Acuerdo Marco, el Contrato de Compraventa, la Constitución de Usufructo Temporal y el Contrato de Servicios.</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FIRMA DEL VENDEDOR — ACEPTACIÓN</w:t>
      </w:r>
    </w:p>
    <w:p>
      <w:pPr>
        <w:spacing w:after="0"/>
      </w:pPr>
      <w:r>
        <w:rPr>
          <w:rFonts w:ascii="Plus Jakarta Sans" w:cs="Plus Jakarta Sans" w:eastAsia="Plus Jakarta Sans" w:hAnsi="Plus Jakarta Sans"/>
          <w:i/>
          <w:iCs/>
          <w:color w:val="3D595C"/>
          <w:sz w:val="18"/>
          <w:szCs w:val="18"/>
        </w:rPr>
        <w:t xml:space="preserve">[Nombre completo]</w:t>
      </w:r>
    </w:p>
    <w:p>
      <w:pPr>
        <w:spacing w:after="360"/>
      </w:pPr>
      <w:r>
        <w:rPr>
          <w:rFonts w:ascii="Plus Jakarta Sans" w:cs="Plus Jakarta Sans" w:eastAsia="Plus Jakarta Sans" w:hAnsi="Plus Jakarta Sans"/>
          <w:color w:val="3D595C"/>
          <w:sz w:val="18"/>
          <w:szCs w:val="18"/>
        </w:rPr>
        <w:t xml:space="preserve">[RUT: _______________]</w:t>
      </w:r>
    </w:p>
    <w:p>
      <w:pPr>
        <w:spacing w:after="360" w:line="280"/>
        <w:jc w:val="both"/>
      </w:pPr>
      <w:r>
        <w:rPr>
          <w:rFonts w:ascii="Plus Jakarta Sans" w:cs="Plus Jakarta Sans" w:eastAsia="Plus Jakarta Sans" w:hAnsi="Plus Jakarta Sans"/>
          <w:b w:val="false"/>
          <w:bCs w:val="false"/>
          <w:i/>
          <w:iCs/>
          <w:color w:val="3D595C"/>
          <w:sz w:val="20"/>
          <w:szCs w:val="20"/>
        </w:rPr>
        <w:t xml:space="preserve">Fecha de aceptación: ____ / ____ / ________</w:t>
      </w:r>
    </w:p>
    <w:p>
      <w:pPr>
        <w:pBdr>
          <w:top w:val="single" w:color="0B2F33" w:sz="6" w:space="1"/>
        </w:pBdr>
        <w:spacing w:after="0" w:before="480"/>
      </w:pPr>
      <w:r>
        <w:t xml:space="preserve"/>
      </w:r>
    </w:p>
    <w:p>
      <w:pPr>
        <w:spacing w:after="0"/>
      </w:pPr>
      <w:r>
        <w:rPr>
          <w:rFonts w:ascii="Plus Jakarta Sans" w:cs="Plus Jakarta Sans" w:eastAsia="Plus Jakarta Sans" w:hAnsi="Plus Jakarta Sans"/>
          <w:b/>
          <w:bCs/>
          <w:color w:val="0B2F33"/>
          <w:sz w:val="20"/>
          <w:szCs w:val="20"/>
        </w:rPr>
        <w:t xml:space="preserve">FIRMA DE MAGNUS SpA</w:t>
      </w:r>
    </w:p>
    <w:p>
      <w:pPr>
        <w:spacing w:after="0"/>
      </w:pPr>
      <w:r>
        <w:rPr>
          <w:rFonts w:ascii="Plus Jakarta Sans" w:cs="Plus Jakarta Sans" w:eastAsia="Plus Jakarta Sans" w:hAnsi="Plus Jakarta Sans"/>
          <w:i/>
          <w:iCs/>
          <w:color w:val="3D595C"/>
          <w:sz w:val="18"/>
          <w:szCs w:val="18"/>
        </w:rPr>
        <w:t xml:space="preserve">[Representante legal]</w:t>
      </w:r>
    </w:p>
    <w:p>
      <w:pPr>
        <w:spacing w:after="360"/>
      </w:pPr>
      <w:r>
        <w:rPr>
          <w:rFonts w:ascii="Plus Jakarta Sans" w:cs="Plus Jakarta Sans" w:eastAsia="Plus Jakarta Sans" w:hAnsi="Plus Jakarta Sans"/>
          <w:color w:val="3D595C"/>
          <w:sz w:val="18"/>
          <w:szCs w:val="18"/>
        </w:rPr>
        <w:t xml:space="preserve">[RUT: _______________]</w:t>
      </w:r>
    </w:p>
    <w:sectPr>
      <w:headerReference w:type="default" r:id="rId7"/>
      <w:footerReference w:type="default" r:id="rId8"/>
      <w:pgSz w:w="12240" w:h="15840" w:orient="portrait"/>
      <w:pgMar w:top="1440" w:right="1440" w:bottom="1440" w:left="1440" w:header="720" w:footer="72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360"/>
      </w:tabs>
      <w:jc w:val="left"/>
    </w:pPr>
    <w:r>
      <w:rPr>
        <w:rFonts w:ascii="Plus Jakarta Sans" w:cs="Plus Jakarta Sans" w:eastAsia="Plus Jakarta Sans" w:hAnsi="Plus Jakarta Sans"/>
        <w:color w:val="3D595C"/>
        <w:sz w:val="14"/>
        <w:szCs w:val="14"/>
      </w:rPr>
      <w:t xml:space="preserve">Magnus SpA  ·  Oferta Vinculante · Anexo 11  ·  v2.4 · Abril 2026</w:t>
    </w:r>
    <w:r>
      <w:rPr>
        <w:rFonts w:ascii="Plus Jakarta Sans" w:cs="Plus Jakarta Sans" w:eastAsia="Plus Jakarta Sans" w:hAnsi="Plus Jakarta Sans"/>
      </w:rPr>
      <w:t xml:space="preserve">	</w:t>
    </w:r>
    <w:r>
      <w:rPr>
        <w:rFonts w:ascii="Plus Jakarta Sans" w:cs="Plus Jakarta Sans" w:eastAsia="Plus Jakarta Sans" w:hAnsi="Plus Jakarta Sans"/>
        <w:color w:val="3D595C"/>
        <w:sz w:val="14"/>
        <w:szCs w:val="14"/>
      </w:rPr>
      <w:t xml:space="preserve">Pág. </w:t>
      <w:fldChar w:fldCharType="begin"/>
      <w:instrText xml:space="preserve">PAGE</w:instrText>
      <w:fldChar w:fldCharType="separate"/>
      <w:fldChar w:fldCharType="end"/>
      <w:t xml:space="preserve"> /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spacing w:after="0"/>
      <w:jc w:val="left"/>
    </w:pPr>
    <w:r>
      <w:rPr>
        <w:rFonts w:ascii="Fraunces 72pt Soft" w:cs="Fraunces 72pt Soft" w:eastAsia="Fraunces 72pt Soft" w:hAnsi="Fraunces 72pt Soft"/>
        <w:b w:val="false"/>
        <w:bCs w:val="false"/>
        <w:color w:val="0B2F33"/>
        <w:spacing w:val="60"/>
        <w:sz w:val="18"/>
        <w:szCs w:val="18"/>
      </w:rPr>
      <w:t xml:space="preserve">MAGNUS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lus Jakarta Sans" w:cs="Plus Jakarta Sans" w:eastAsia="Plus Jakarta Sans" w:hAnsi="Plus Jakarta Sans"/>
        <w:sz w:val="20"/>
        <w:szCs w:val="20"/>
      </w:rPr>
    </w:rPrDefault>
    <w:pPrDefault>
      <w:pPr>
        <w:spacing w:after="120" w:line="280"/>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next w:val="Normal"/>
    <w:qFormat/>
    <w:pPr>
      <w:spacing w:after="120" w:before="0"/>
      <w:jc w:val="left"/>
    </w:pPr>
    <w:rPr>
      <w:rFonts w:ascii="Fraunces 72pt Soft" w:cs="Fraunces 72pt Soft" w:eastAsia="Fraunces 72pt Soft" w:hAnsi="Fraunces 72pt Soft"/>
      <w:b w:val="false"/>
      <w:bCs w:val="false"/>
      <w:color w:val="0B2F33"/>
      <w:sz w:val="40"/>
      <w:szCs w:val="40"/>
    </w:rPr>
  </w:style>
  <w:style w:type="paragraph" w:styleId="Subtitle">
    <w:name w:val="Subtitle"/>
    <w:basedOn w:val="Normal"/>
    <w:next w:val="Normal"/>
    <w:qFormat/>
    <w:pPr>
      <w:spacing w:after="240" w:before="0"/>
    </w:pPr>
    <w:rPr>
      <w:rFonts w:ascii="Plus Jakarta Sans" w:cs="Plus Jakarta Sans" w:eastAsia="Plus Jakarta Sans" w:hAnsi="Plus Jakarta Sans"/>
      <w:b w:val="false"/>
      <w:bCs w:val="false"/>
      <w:color w:val="1B6E6A"/>
      <w:sz w:val="18"/>
      <w:szCs w:val="18"/>
    </w:rPr>
  </w:style>
  <w:style w:type="paragraph" w:styleId="Heading1">
    <w:name w:val="Heading 1"/>
    <w:basedOn w:val="Normal"/>
    <w:next w:val="Normal"/>
    <w:qFormat/>
    <w:pPr>
      <w:spacing w:after="120" w:before="320"/>
      <w:outlineLvl w:val="0"/>
    </w:pPr>
    <w:rPr>
      <w:rFonts w:ascii="Plus Jakarta Sans" w:cs="Plus Jakarta Sans" w:eastAsia="Plus Jakarta Sans" w:hAnsi="Plus Jakarta Sans"/>
      <w:b/>
      <w:bCs/>
      <w:color w:val="0B2F33"/>
      <w:sz w:val="22"/>
      <w:szCs w:val="22"/>
    </w:rPr>
  </w:style>
  <w:style w:type="paragraph" w:styleId="Heading2">
    <w:name w:val="Heading 2"/>
    <w:basedOn w:val="Normal"/>
    <w:next w:val="Normal"/>
    <w:qFormat/>
    <w:pPr>
      <w:spacing w:after="80" w:before="240"/>
      <w:outlineLvl w:val="1"/>
    </w:pPr>
    <w:rPr>
      <w:rFonts w:ascii="Plus Jakarta Sans" w:cs="Plus Jakarta Sans" w:eastAsia="Plus Jakarta Sans" w:hAnsi="Plus Jakarta Sans"/>
      <w:b/>
      <w:bCs/>
      <w:color w:val="0B2F33"/>
      <w:sz w:val="20"/>
      <w:szCs w:val="20"/>
    </w:rPr>
  </w:style>
  <w:style w:type="paragraph" w:styleId="ClauseTitle">
    <w:name w:val="Clause Title"/>
    <w:basedOn w:val="Normal"/>
    <w:next w:val="Normal"/>
    <w:pPr>
      <w:keepNext/>
      <w:spacing w:after="80" w:before="240"/>
    </w:pPr>
    <w:rPr>
      <w:rFonts w:ascii="Plus Jakarta Sans" w:cs="Plus Jakarta Sans" w:eastAsia="Plus Jakarta Sans" w:hAnsi="Plus Jakarta Sans"/>
      <w:b/>
      <w:bCs/>
      <w:color w:val="0B2F33"/>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Oferta Vinculante v2.4 — Anexo 11 del Acuerdo Marco</dc:title>
  <dc:creator>Magnus SpA</dc:creator>
  <cp:lastModifiedBy>Un-named</cp:lastModifiedBy>
  <cp:revision>1</cp:revision>
  <dcterms:created xsi:type="dcterms:W3CDTF">2026-04-30T00:07:47.666Z</dcterms:created>
  <dcterms:modified xsi:type="dcterms:W3CDTF">2026-04-30T00:07:47.667Z</dcterms:modified>
</cp:coreProperties>
</file>

<file path=docProps/custom.xml><?xml version="1.0" encoding="utf-8"?>
<Properties xmlns="http://schemas.openxmlformats.org/officeDocument/2006/custom-properties" xmlns:vt="http://schemas.openxmlformats.org/officeDocument/2006/docPropsVTypes"/>
</file>